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23050A">
              <w:rPr>
                <w:rFonts w:ascii="Times New Roman" w:eastAsia="Calibri" w:hAnsi="Times New Roman"/>
                <w:noProof/>
              </w:rPr>
              <w:t>01.11.2019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23050A" w:rsidRPr="00773F55">
              <w:rPr>
                <w:rFonts w:eastAsia="Calibri"/>
                <w:noProof/>
              </w:rPr>
              <w:t>06/61-19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8A5094" w:rsidRPr="00857BB2">
              <w:rPr>
                <w:rFonts w:ascii="Times New Roman" w:eastAsia="Calibri" w:hAnsi="Times New Roman"/>
                <w:noProof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rFonts w:eastAsia="Calibri"/>
                <w:noProof/>
                <w:sz w:val="28"/>
                <w:szCs w:val="28"/>
                <w:lang w:eastAsia="en-US"/>
              </w:rPr>
              <w:t>ООО "Группа компаний "Золотой Барс"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Заявитель_адрес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rFonts w:eastAsia="Calibri"/>
                <w:noProof/>
                <w:sz w:val="28"/>
                <w:szCs w:val="28"/>
                <w:lang w:eastAsia="en-US"/>
              </w:rPr>
              <w:t>298100, Республика Крым, гор. Феодосия, ул. Десантников 6, оф. 6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rFonts w:eastAsia="Calibri"/>
                <w:noProof/>
                <w:sz w:val="28"/>
                <w:szCs w:val="28"/>
                <w:lang w:eastAsia="en-US"/>
              </w:rPr>
              <w:t>bars_ohrana_feo@mail.ru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noProof/>
                <w:sz w:val="28"/>
                <w:szCs w:val="28"/>
                <w:lang w:eastAsia="en-US"/>
              </w:rPr>
              <w:t>Муниципальное унитарное предприятие муниципального образования городской округ Феодосия Республики Крым "Ранок"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noProof/>
                <w:sz w:val="28"/>
                <w:szCs w:val="28"/>
                <w:lang w:eastAsia="en-US"/>
              </w:rPr>
              <w:t>298176, Республика Крым, город Феодосия, поселок городского типа Приморский, улица Южная, дом 9, офис (квартира) по</w:t>
            </w:r>
            <w:bookmarkStart w:id="0" w:name="_GoBack"/>
            <w:bookmarkEnd w:id="0"/>
            <w:r w:rsidR="0023050A" w:rsidRPr="00773F55">
              <w:rPr>
                <w:noProof/>
                <w:sz w:val="28"/>
                <w:szCs w:val="28"/>
                <w:lang w:eastAsia="en-US"/>
              </w:rPr>
              <w:t>мещение 3 - н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050A" w:rsidRPr="00773F55">
              <w:rPr>
                <w:noProof/>
                <w:sz w:val="28"/>
                <w:szCs w:val="28"/>
                <w:lang w:eastAsia="en-US"/>
              </w:rPr>
              <w:t>ranok26022015@mail.ru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23050A" w:rsidRPr="002D7AB0" w:rsidRDefault="0023050A" w:rsidP="002D7AB0">
            <w:pPr>
              <w:rPr>
                <w:sz w:val="28"/>
                <w:szCs w:val="28"/>
              </w:rPr>
            </w:pPr>
            <w:r w:rsidRPr="002D7AB0">
              <w:rPr>
                <w:sz w:val="28"/>
                <w:szCs w:val="28"/>
              </w:rPr>
              <w:t>Общество с ограниченной ответственностью «РТС-тендер»</w:t>
            </w:r>
          </w:p>
          <w:p w:rsidR="0023050A" w:rsidRPr="002D7AB0" w:rsidRDefault="0023050A" w:rsidP="002D7AB0">
            <w:pPr>
              <w:rPr>
                <w:sz w:val="28"/>
                <w:szCs w:val="28"/>
              </w:rPr>
            </w:pPr>
            <w:r w:rsidRPr="002D7AB0">
              <w:rPr>
                <w:sz w:val="28"/>
                <w:szCs w:val="28"/>
              </w:rPr>
              <w:t>121151, г. Москва, наб. Тараса Шевченко, д. 23А, сектор</w:t>
            </w:r>
            <w:proofErr w:type="gramStart"/>
            <w:r w:rsidRPr="002D7AB0">
              <w:rPr>
                <w:sz w:val="28"/>
                <w:szCs w:val="28"/>
              </w:rPr>
              <w:t xml:space="preserve"> В</w:t>
            </w:r>
            <w:proofErr w:type="gramEnd"/>
            <w:r w:rsidRPr="002D7AB0">
              <w:rPr>
                <w:sz w:val="28"/>
                <w:szCs w:val="28"/>
              </w:rPr>
              <w:t>, 25 этаж</w:t>
            </w:r>
          </w:p>
          <w:p w:rsidR="0023050A" w:rsidRPr="002D7AB0" w:rsidRDefault="0023050A" w:rsidP="002D7AB0">
            <w:pPr>
              <w:rPr>
                <w:sz w:val="28"/>
                <w:szCs w:val="28"/>
                <w:lang w:val="en-US"/>
              </w:rPr>
            </w:pPr>
            <w:r w:rsidRPr="002D7AB0">
              <w:rPr>
                <w:sz w:val="28"/>
                <w:szCs w:val="28"/>
                <w:lang w:val="en-US"/>
              </w:rPr>
              <w:t>e-mail: ko@rts-tender.ru</w:t>
            </w:r>
          </w:p>
          <w:p w:rsidR="00FD4416" w:rsidRPr="00886AD1" w:rsidRDefault="00FD4416" w:rsidP="00FD4416"/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23050A" w:rsidRPr="00773F55">
        <w:rPr>
          <w:noProof/>
          <w:sz w:val="28"/>
          <w:szCs w:val="28"/>
        </w:rPr>
        <w:t>6/09 от 11.01.2019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23050A" w:rsidRPr="00773F55">
        <w:rPr>
          <w:noProof/>
          <w:sz w:val="28"/>
          <w:szCs w:val="28"/>
        </w:rPr>
        <w:t>Услуги физической охраны объектов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23050A" w:rsidRPr="00773F55">
        <w:rPr>
          <w:noProof/>
          <w:sz w:val="28"/>
          <w:szCs w:val="28"/>
        </w:rPr>
        <w:t>31807335615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23050A">
        <w:rPr>
          <w:b/>
          <w:noProof/>
          <w:color w:val="000000"/>
          <w:sz w:val="28"/>
          <w:szCs w:val="28"/>
        </w:rPr>
        <w:t>16.01.2019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23050A" w:rsidRPr="00773F55">
        <w:rPr>
          <w:b/>
          <w:noProof/>
          <w:sz w:val="28"/>
          <w:szCs w:val="28"/>
        </w:rPr>
        <w:t>14:20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 xml:space="preserve">Федерального закона от 26.07.2006 №135-ФЗ «О защите конкуренции» (с </w:t>
      </w:r>
      <w:r>
        <w:rPr>
          <w:b/>
          <w:sz w:val="28"/>
          <w:szCs w:val="28"/>
        </w:rPr>
        <w:lastRenderedPageBreak/>
        <w:t>изменениями)</w:t>
      </w:r>
      <w:r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Жалобы`"/>
    <w:dataSource r:id="rId1"/>
    <w:viewMergedData/>
    <w:activeRecord w:val="79"/>
    <w:odso>
      <w:udl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Жалобы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3050A"/>
    <w:rsid w:val="00277671"/>
    <w:rsid w:val="00336915"/>
    <w:rsid w:val="003F754A"/>
    <w:rsid w:val="0041630A"/>
    <w:rsid w:val="005A5DDC"/>
    <w:rsid w:val="005C4CE4"/>
    <w:rsid w:val="00667EF5"/>
    <w:rsid w:val="006F425F"/>
    <w:rsid w:val="006F7790"/>
    <w:rsid w:val="00727EA2"/>
    <w:rsid w:val="007513B6"/>
    <w:rsid w:val="007A7C30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2019-01-14T16:47:00Z</dcterms:created>
  <dcterms:modified xsi:type="dcterms:W3CDTF">2019-01-14T16:47:00Z</dcterms:modified>
</cp:coreProperties>
</file>